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 zamyka rundę finansowania o wartości ponad 100 mln euro. Partnerami kolejnego etapu rozwoju marki zostali Aspeya, Atlantic Grupa oraz Aleksander Aamodt Kilde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marka ogłasza największą dotychczas rundę finansowania i umacnia swoją pozycję lidera w kategorii funkcjonalnych, smakowych produktów nawadniających. Waterdrop pozyskał ponad 100 mln euro finansowania od Aspeya, Atlantic Grupy oraz zwycięzcy Pucharu Świata w narciarstwie alpejskim Aleksandra Aamodta Kilde. Nowi partnerzy dołączają do grona dotychczasowych udziałowców, wśród których znajdują się m.in. Temasek, Döhler i Bitburger, a także czołowi sportowcy z całego świata. To jak dotąd najważniejsze wydarzenie w historii firmy, która dynamicznie rozwija się i wchodzi w kolejny etap ekspansji.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została założona w Wiedniu w 2016 roku z misją wspierania konsumentów w piciu większej ilości wody w smaczniejszy, bardziej funkcjonalny i wygodniejszy sposób. Firma stworzyła Microdrink - kompaktowe, bezcukrowe kapsułki na bazie naturalnych ekstraktów owocowych i roślinnych, które rozpuszczają się w wodzie i zapewniając lepszy smak oraz korzyści funkcjonalne. W ciągu dekady oferta firmy rozszerzyła się o kapsułki w dziesiątkach smaków, a także butelki i karafki filtrujące wodę.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Waterdrop obsługuje ponad 5 milionów klientów online na całym świecie, generuje przychody na poziomie ok. 150 mln euro i pozostaje rentowny.</w:t>
      </w:r>
      <w:r>
        <w:rPr>
          <w:rFonts w:ascii="calibri" w:hAnsi="calibri" w:eastAsia="calibri" w:cs="calibri"/>
          <w:sz w:val="24"/>
          <w:szCs w:val="24"/>
        </w:rPr>
        <w:t xml:space="preserve"> Marka jest obecna w ponad 20 tys. punktów sprzedaży oraz w około 50 sklepach firmowych w Europie, Stanach Zjednoczonych, Japonii i Australii.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przypada na szczególny rok dla firmy - dziesięciolecie działalności Waterdrop. To dekada rozwoju kapsułek Microdrink i budowania marki opartej na smaku, funkcjonalności i wygodzie.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 jest Oficjalnym Partnerem Australian Open (po raz trzeci z rzędu) oraz Złotym Partnerem ATP Tour.</w:t>
      </w:r>
      <w:r>
        <w:rPr>
          <w:rFonts w:ascii="calibri" w:hAnsi="calibri" w:eastAsia="calibri" w:cs="calibri"/>
          <w:sz w:val="24"/>
          <w:szCs w:val="24"/>
        </w:rPr>
        <w:t xml:space="preserve"> Marka jest obecna w sporcie wyczynowym i na rynkach konsumenckich na całym świecie. Sportowcy związani z marką, w tym Aleksander Aamodt Kilde, wykorzystują produkty Waterdrop podczas treningów, zawodów oraz regeneracji.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dziesięć lat budowaliśmy markę, która ułatwia picie większej ilości wody, oraz biznes przygotowany do dalszego wzrostu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założyciel i CEO Martin Murray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Aspeya i Atlantic Grupa wnoszą strategiczne kompetencje, szeroki zasięg dystrybucji oraz długoterminowe zaangażowanie, których wymaga kolejny etap rozwoju. Jesteśmy rentowni, rozwijamy się i dzięki wsparciu tych partnerów jesteśmy gotowi działać szybciej i sięgać dalej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Aspeya, która rozwija i komercjalizuje portfolio marek oraz produktów z obszaru wellness, obejmuje mniejszościowy pakiet udziałów w ramach strategii wspierania firm kształtujących przyszłość rynku zdrowia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Waterdrop dokonał czegoś rzadkiego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stworzył nową kategorię, zbudował lojalną, globalną społeczność i osiągnął rentowność bez kompromisów wobec swojej misji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Michael Kunst, CEO Aspeya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Aspeya wspiera firmy, które kształtują przyszłość rynku wellness, a Waterdrop jest jednym z najbardziej przekonujących przykładów, jakie widzieliśmy. Cieszymy się, że możemy być częścią kolejnego etapu jego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Atlantic Grupa wnosi wartość wykraczającą poza sam kapitał. Jako jedna z największych firm FMCG w Europie Południowo-Wschodniej oraz dotychczasowy partner dystrybucyjny Waterdrop w Austrii, Chorwacji, Serbii i Słowenii, zwiększa swoje zaangażowanie poprzez inwestycję o wartości kilkudziesięciu milionów euro oraz udział w Komitecie Inwestycyjnym.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Mieliśmy okazję obserwować rozwój Waterdrop. Marka dobrze trafia w potrzeby europejskich konsumentów i odpowiada na kluczowe trendy, takie jak premiumizacja, funkcjonalne nawodnienie i wysoka jakość smaku. Ta inwestycja odzwierciedla nasze przekonanie o jej długoterminowym potencjale oraz nasze zaangażowanie w dalszy rozwój w Europie i poza nią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mówi Lada Tedeschi Fiorio, Group Vice President, Corporate Strategy and Investments w Atlantic Grupa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dalszą ekspansję w Europie, w tym rozwój sprzedaży detalicznej, wzmacnianie lokalnych zespołów oraz skalowanie kanału direct-to-consumer na kluczowych rynkach. Równolegle firma rozwija portfolio produktowe, wprowadzając kolejne innowacje. Niedawno ogłoszone partnerstwo z Ricola, obejmujące wspólne opracowanie linii ziołowych produktów nawadniających, łączy dwie rozpoznawalne marki skoncentrowane na produktach funkcjonalnych o wysokiej jakości smaku i wskazuje kierunek współprac, jakie Waterdrop planuje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firmą kolejne ambitne działania. Rozpoczął się sezon zwiększonej dbałości o nawodnienie, wraz z którym ruszyła największa kampania marketingowa w historii Waterdrop. Obejmuje ona działania outdoorowe i digitalowe na kluczowych rynkach europejskich, z obecnością marki podczas ATP Tour tego lata, wspieraną przez sportowców korzystających z produktów Waterdrop.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2026-05-20T06:25:50+02:00</dcterms:created>
  <dcterms:modified xsi:type="dcterms:W3CDTF">2026-05-20T06:25:50+02:00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